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26-88</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 470</w:t>
      </w:r>
    </w:p>
    <w:p>
      <w:pPr>
        <w:spacing w:before="0" w:after="0" w:line="480"/>
        <w:ind w:left="120"/>
        <w:jc w:val="center"/>
      </w:pPr>
      <w:r>
        <w:rPr>
          <w:rFonts w:ascii="Times New Roman" w:hAnsi="Times New Roman"/>
          <w:b w:val="false"/>
          <w:i w:val="false"/>
          <w:color w:val="000000"/>
          <w:sz w:val="24"/>
        </w:rPr>
        <w:t>“Lead-Based Paint Activities”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10A</w:t>
      </w:r>
    </w:p>
    <w:p>
      <w:pPr>
        <w:spacing w:before="0" w:after="0" w:line="480"/>
        <w:ind w:left="120"/>
        <w:jc w:val="both"/>
      </w:pPr>
      <w:r>
        <w:rPr>
          <w:rFonts w:ascii="Times New Roman" w:hAnsi="Times New Roman"/>
          <w:b w:val="false"/>
          <w:i w:val="false"/>
          <w:color w:val="000000"/>
          <w:sz w:val="24"/>
        </w:rPr>
        <w:t>State or federal law(s) implemented by the rulemaking: Iowa Code chapter 10A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30, 2026</w:t>
            </w:r>
            <w:r>
              <w:br/>
            </w:r>
            <w:r>
              <w:rPr>
                <w:rFonts w:ascii="Times New Roman" w:hAnsi="Times New Roman"/>
                <w:b w:val="false"/>
                <w:i w:val="false"/>
                <w:color w:val="000000"/>
                <w:sz w:val="21"/>
              </w:rPr>
              <w:t>11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Ledges Conference Room </w:t>
            </w:r>
            <w:r>
              <w:br/>
            </w:r>
            <w:r>
              <w:rPr>
                <w:rFonts w:ascii="Times New Roman" w:hAnsi="Times New Roman"/>
                <w:b w:val="false"/>
                <w:i w:val="false"/>
                <w:color w:val="000000"/>
                <w:sz w:val="21"/>
              </w:rPr>
              <w:t xml:space="preserve">6200 Park Avenue </w:t>
            </w:r>
            <w:r>
              <w:br/>
            </w:r>
            <w:r>
              <w:rPr>
                <w:rFonts w:ascii="Times New Roman" w:hAnsi="Times New Roman"/>
                <w:b w:val="false"/>
                <w:i w:val="false"/>
                <w:color w:val="000000"/>
                <w:sz w:val="21"/>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Inspections, Appeals, and Licensing (DIAL)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4535"/>
      </w:tblGrid>
      <w:tr>
        <w:trPr>
          <w:trHeight w:val="2430" w:hRule="atLeast"/>
        </w:trPr>
        <w:tc>
          <w:tcPr>
            <w:tcW w:w="45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Sheri Howard </w:t>
            </w:r>
            <w:r>
              <w:br/>
            </w:r>
            <w:r>
              <w:rPr>
                <w:rFonts w:ascii="Times New Roman" w:hAnsi="Times New Roman"/>
                <w:b w:val="false"/>
                <w:i w:val="false"/>
                <w:color w:val="000000"/>
                <w:sz w:val="21"/>
              </w:rPr>
              <w:t xml:space="preserve">6200 Park Avenue </w:t>
            </w:r>
            <w:r>
              <w:br/>
            </w:r>
            <w:r>
              <w:rPr>
                <w:rFonts w:ascii="Times New Roman" w:hAnsi="Times New Roman"/>
                <w:b w:val="false"/>
                <w:i w:val="false"/>
                <w:color w:val="000000"/>
                <w:sz w:val="21"/>
              </w:rPr>
              <w:t xml:space="preserve">Des Moines, Iowa 50321 </w:t>
            </w:r>
            <w:r>
              <w:br/>
            </w:r>
            <w:r>
              <w:rPr>
                <w:rFonts w:ascii="Times New Roman" w:hAnsi="Times New Roman"/>
                <w:b w:val="false"/>
                <w:i w:val="false"/>
                <w:color w:val="000000"/>
                <w:sz w:val="21"/>
              </w:rPr>
              <w:t xml:space="preserve">Phone: 515.779.3299 </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sheri.howard@dia.iowa.gov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This proposed rulemaking amends the rules promulgated by DIAL to implement the United States Environmental Protection Agency’s (EPA’s) rule regarding the definition of dust-lead hazard. </w:t>
      </w:r>
    </w:p>
    <w:p>
      <w:pPr>
        <w:spacing w:before="0" w:after="0" w:line="480"/>
        <w:ind w:left="120"/>
        <w:jc w:val="both"/>
      </w:pPr>
      <w:r>
        <w:rPr>
          <w:rFonts w:ascii="Times New Roman" w:hAnsi="Times New Roman"/>
          <w:b w:val="false"/>
          <w:i w:val="false"/>
          <w:color w:val="000000"/>
          <w:sz w:val="24"/>
        </w:rPr>
        <w:t xml:space="preserve">    This rulemaking amends the rules to provide a clearer guideline for lead professionals regarding training and certification to perform lead-based paint activities and references to federal law.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The regulated industry will bear the costs of the proposed rulemaking by incurring the costs of implementation.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general public will benefit from the rulemaking through safety in the performance of lead-based activities. The owners and occupants of structures in which lead-based activities are performed benefit particularly through the safe performance of these activities. Children will be protected from the hazards of lead-based paint.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general public will benefit from the rulemaking through safety in the performance of lead-based activities.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Lead-based paint exposure results in an increased need for health care and special education. It can lead to an increase in the crime rate. Exposure can result in a decrease of the lifetime earnings of those exposed. The economic impact is estimated to be in the billions of dollars. Lowering the amount of lead that can remain in dust can alleviate the costs associated with lead-based paint exposure.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Failure to implement the changes could result in the State losing EPA accreditation to administer the program at the State level.</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impact on State revenues from these rules (response in Section “3,” above).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costs to the industry are described above. The potential benefits of inaction are enormous. Lead-based paint exposure can lead to an estimated billions of dollars in negative economic impact. More importantly, people, particularly children, who are exposed to lead-based paint can suffer health, educational and earnings impacts that last a lifetime.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There are no less costly or intrusive methods for achieving the purpose of the proposed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There are no less costly or intrusive methods for achieving the purpose of the proposed rulemaking.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There are no less costly or intrusive methods for achieving the purpose of the proposed rulemaking.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xml:space="preserve">    Many lead-based professionals may be small business owners. While the overall economic impact of the rulemaking may be higher for a small business owner, the significant public safety benefits of the rulemaking outweigh that impact. To exempt a small business from adhering to the rules would jeopardize the public who sought services from that small business. The risk to the public is greater than the potential cost to the small business. </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481—470.2(10A)</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“Clearance level,”</w:t>
      </w:r>
      <w:r>
        <w:rPr>
          <w:rFonts w:ascii="Times New Roman" w:hAnsi="Times New Roman"/>
          <w:b w:val="false"/>
          <w:i w:val="false"/>
          <w:color w:val="000000"/>
          <w:sz w:val="24"/>
        </w:rPr>
        <w:t xml:space="preserve"> and </w:t>
      </w:r>
      <w:r>
        <w:rPr>
          <w:rFonts w:ascii="Times New Roman" w:hAnsi="Times New Roman"/>
          <w:b w:val="false"/>
          <w:i w:val="false"/>
          <w:color w:val="000000"/>
          <w:sz w:val="24"/>
        </w:rPr>
        <w:t>“Dust-lead hazard,”</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“Clearance level”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value at which the amount of lead in dust on a surface following completion of interim controls, lead abatement, paint stabilization, standard treatments, ongoing lead-based paint maintenance, rehabilitation, or renovation is a dust-lead hazard and fails clearance testing. The clearance level for a single-surface dust sample from a floor is greater than or equal to </w:t>
      </w:r>
      <w:r>
        <w:rPr>
          <w:rFonts w:ascii="Times New Roman" w:hAnsi="Times New Roman"/>
          <w:b w:val="false"/>
          <w:i w:val="false"/>
          <w:strike/>
          <w:color w:val="000000"/>
          <w:sz w:val="24"/>
        </w:rPr>
        <w:t>10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w:t>
      </w:r>
      <w:r>
        <w:rPr>
          <w:rFonts w:ascii="Times New Roman" w:hAnsi="Times New Roman"/>
          <w:b w:val="false"/>
          <w:i w:val="false"/>
          <w:color w:val="000000"/>
          <w:sz w:val="24"/>
        </w:rPr>
        <w:t xml:space="preserve"> micrograms per square foot. The clearance level for a single-surface dust sample from an interior windowsill is greater than or equal to </w:t>
      </w:r>
      <w:r>
        <w:rPr>
          <w:rFonts w:ascii="Times New Roman" w:hAnsi="Times New Roman"/>
          <w:b w:val="false"/>
          <w:i w:val="false"/>
          <w:strike/>
          <w:color w:val="000000"/>
          <w:sz w:val="24"/>
        </w:rPr>
        <w:t>100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40</w:t>
      </w:r>
      <w:r>
        <w:rPr>
          <w:rFonts w:ascii="Times New Roman" w:hAnsi="Times New Roman"/>
          <w:b w:val="false"/>
          <w:i w:val="false"/>
          <w:color w:val="000000"/>
          <w:sz w:val="24"/>
        </w:rPr>
        <w:t xml:space="preserve"> micrograms per square foot. The clearance level for a single-surface dust sample from a window trough is greater than or equal to </w:t>
      </w:r>
      <w:r>
        <w:rPr>
          <w:rFonts w:ascii="Times New Roman" w:hAnsi="Times New Roman"/>
          <w:b w:val="false"/>
          <w:i w:val="false"/>
          <w:strike/>
          <w:color w:val="000000"/>
          <w:sz w:val="24"/>
        </w:rPr>
        <w:t>400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100</w:t>
      </w:r>
      <w:r>
        <w:rPr>
          <w:rFonts w:ascii="Times New Roman" w:hAnsi="Times New Roman"/>
          <w:b w:val="false"/>
          <w:i w:val="false"/>
          <w:color w:val="000000"/>
          <w:sz w:val="24"/>
        </w:rPr>
        <w:t xml:space="preserve"> micrograms per square foot.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“Dust-lead hazard”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surface dust in residential dwellings or child-occupied facilities that contains a mass-per-area concentration of lead greater than or equal to </w:t>
      </w:r>
      <w:r>
        <w:rPr>
          <w:rFonts w:ascii="Times New Roman" w:hAnsi="Times New Roman"/>
          <w:b w:val="false"/>
          <w:i w:val="false"/>
          <w:strike/>
          <w:color w:val="000000"/>
          <w:sz w:val="24"/>
        </w:rPr>
        <w:t>10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w:t>
      </w:r>
      <w:r>
        <w:rPr>
          <w:rFonts w:ascii="Times New Roman" w:hAnsi="Times New Roman"/>
          <w:b w:val="false"/>
          <w:i w:val="false"/>
          <w:color w:val="000000"/>
          <w:sz w:val="24"/>
        </w:rPr>
        <w:t xml:space="preserve"> micrograms per square foot on floors, </w:t>
      </w:r>
      <w:r>
        <w:rPr>
          <w:rFonts w:ascii="Times New Roman" w:hAnsi="Times New Roman"/>
          <w:b w:val="false"/>
          <w:i w:val="false"/>
          <w:strike/>
          <w:color w:val="000000"/>
          <w:sz w:val="24"/>
        </w:rPr>
        <w:t>100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40</w:t>
      </w:r>
      <w:r>
        <w:rPr>
          <w:rFonts w:ascii="Times New Roman" w:hAnsi="Times New Roman"/>
          <w:b w:val="false"/>
          <w:i w:val="false"/>
          <w:color w:val="000000"/>
          <w:sz w:val="24"/>
        </w:rPr>
        <w:t xml:space="preserve"> micrograms per square foot on interior windowsills, and </w:t>
      </w:r>
      <w:r>
        <w:rPr>
          <w:rFonts w:ascii="Times New Roman" w:hAnsi="Times New Roman"/>
          <w:b w:val="false"/>
          <w:i w:val="false"/>
          <w:strike/>
          <w:color w:val="000000"/>
          <w:sz w:val="24"/>
        </w:rPr>
        <w:t>400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100</w:t>
      </w:r>
      <w:r>
        <w:rPr>
          <w:rFonts w:ascii="Times New Roman" w:hAnsi="Times New Roman"/>
          <w:b w:val="false"/>
          <w:i w:val="false"/>
          <w:color w:val="000000"/>
          <w:sz w:val="24"/>
        </w:rPr>
        <w:t xml:space="preserve"> micrograms per square foot on window troughs based on wipe samples. A dust-lead hazard is present in a residential dwelling or child-occupied facility when the weighted arithmetic mean lead loading for all single-surface or composite samples of floors and interior windowsills is greater than or equal to </w:t>
      </w:r>
      <w:r>
        <w:rPr>
          <w:rFonts w:ascii="Times New Roman" w:hAnsi="Times New Roman"/>
          <w:b w:val="false"/>
          <w:i w:val="false"/>
          <w:strike/>
          <w:color w:val="000000"/>
          <w:sz w:val="24"/>
        </w:rPr>
        <w:t>10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w:t>
      </w:r>
      <w:r>
        <w:rPr>
          <w:rFonts w:ascii="Times New Roman" w:hAnsi="Times New Roman"/>
          <w:b w:val="false"/>
          <w:i w:val="false"/>
          <w:color w:val="000000"/>
          <w:sz w:val="24"/>
        </w:rPr>
        <w:t xml:space="preserve"> micrograms per square foot on floors, </w:t>
      </w:r>
      <w:r>
        <w:rPr>
          <w:rFonts w:ascii="Times New Roman" w:hAnsi="Times New Roman"/>
          <w:b w:val="false"/>
          <w:i w:val="false"/>
          <w:strike/>
          <w:color w:val="000000"/>
          <w:sz w:val="24"/>
        </w:rPr>
        <w:t>100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40</w:t>
      </w:r>
      <w:r>
        <w:rPr>
          <w:rFonts w:ascii="Times New Roman" w:hAnsi="Times New Roman"/>
          <w:b w:val="false"/>
          <w:i w:val="false"/>
          <w:color w:val="000000"/>
          <w:sz w:val="24"/>
        </w:rPr>
        <w:t xml:space="preserve"> micrograms per square foot on interior windowsills, and </w:t>
      </w:r>
      <w:r>
        <w:rPr>
          <w:rFonts w:ascii="Times New Roman" w:hAnsi="Times New Roman"/>
          <w:b w:val="false"/>
          <w:i w:val="false"/>
          <w:strike/>
          <w:color w:val="000000"/>
          <w:sz w:val="24"/>
        </w:rPr>
        <w:t>400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100</w:t>
      </w:r>
      <w:r>
        <w:rPr>
          <w:rFonts w:ascii="Times New Roman" w:hAnsi="Times New Roman"/>
          <w:b w:val="false"/>
          <w:i w:val="false"/>
          <w:color w:val="000000"/>
          <w:sz w:val="24"/>
        </w:rPr>
        <w:t xml:space="preserve"> micrograms per square foot on window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470.4(14)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470.4(14)</w:t>
      </w:r>
      <w:r>
        <w:rPr>
          <w:rFonts w:ascii="Times New Roman" w:hAnsi="Times New Roman"/>
          <w:b w:val="false"/>
          <w:i w:val="false"/>
          <w:color w:val="000000"/>
          <w:sz w:val="24"/>
        </w:rPr>
        <w:t> </w:t>
      </w:r>
      <w:r>
        <w:rPr>
          <w:rFonts w:ascii="Times New Roman" w:hAnsi="Times New Roman"/>
          <w:b w:val="false"/>
          <w:i w:val="false"/>
          <w:strike/>
          <w:color w:val="000000"/>
          <w:sz w:val="24"/>
        </w:rPr>
        <w:t>To be approved for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w:t>
      </w:r>
      <w:r>
        <w:rPr>
          <w:rFonts w:ascii="Times New Roman" w:hAnsi="Times New Roman"/>
          <w:b w:val="false"/>
          <w:i w:val="false"/>
          <w:color w:val="000000"/>
          <w:sz w:val="24"/>
        </w:rPr>
        <w:t xml:space="preserve"> refresher training </w:t>
      </w:r>
      <w:r>
        <w:rPr>
          <w:rFonts w:ascii="Times New Roman" w:hAnsi="Times New Roman"/>
          <w:b w:val="false"/>
          <w:i w:val="false"/>
          <w:strike/>
          <w:color w:val="000000"/>
          <w:sz w:val="24"/>
        </w:rPr>
        <w:t>of</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course for</w:t>
      </w:r>
      <w:r>
        <w:rPr>
          <w:rFonts w:ascii="Times New Roman" w:hAnsi="Times New Roman"/>
          <w:b w:val="false"/>
          <w:i w:val="false"/>
          <w:color w:val="000000"/>
          <w:sz w:val="24"/>
        </w:rPr>
        <w:t xml:space="preserve"> sampling technicians, lead abatement contractors, lead abatement workers, and project designers</w:t>
      </w:r>
      <w:r>
        <w:rPr>
          <w:rFonts w:ascii="Times New Roman" w:hAnsi="Times New Roman"/>
          <w:b w:val="false"/>
          <w:i w:val="false"/>
          <w:strike/>
          <w:color w:val="000000"/>
          <w:sz w:val="24"/>
        </w:rPr>
        <w:t>, a course</w:t>
      </w:r>
      <w:r>
        <w:rPr>
          <w:rFonts w:ascii="Times New Roman" w:hAnsi="Times New Roman"/>
          <w:b w:val="false"/>
          <w:i w:val="false"/>
          <w:color w:val="000000"/>
          <w:sz w:val="24"/>
        </w:rPr>
        <w:t xml:space="preserve"> must be at least eight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hours of</w:t>
      </w:r>
      <w:r>
        <w:rPr>
          <w:rFonts w:ascii="Times New Roman" w:hAnsi="Times New Roman"/>
          <w:b w:val="false"/>
          <w:i w:val="false"/>
          <w:color w:val="000000"/>
          <w:sz w:val="24"/>
        </w:rPr>
        <w:t xml:space="preserve"> training </w:t>
      </w:r>
      <w:r>
        <w:rPr>
          <w:rFonts w:ascii="Times New Roman" w:hAnsi="Times New Roman"/>
          <w:b w:val="false"/>
          <w:i w:val="false"/>
          <w:strike/>
          <w:color w:val="000000"/>
          <w:sz w:val="24"/>
        </w:rPr>
        <w:t>hours</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To be approved for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Pursuant to the recertification requirements of subrule </w:t>
      </w:r>
      <w:hyperlink r:id="rId5">
        <w:r>
          <w:rPr>
            <w:rStyle w:val="Hyperlink"/>
            <w:rFonts w:ascii="Times New Roman" w:hAnsi="Times New Roman"/>
            <w:b w:val="false"/>
            <w:i w:val="false"/>
            <w:color w:val="000000"/>
            <w:sz w:val="24"/>
            <w:u w:val="single"/>
          </w:rPr>
          <w:t>470.5(6)</w:t>
        </w:r>
      </w:hyperlink>
      <w:r>
        <w:rPr>
          <w:rFonts w:ascii="Times New Roman" w:hAnsi="Times New Roman"/>
          <w:b w:val="false"/>
          <w:i w:val="false"/>
          <w:color w:val="000000"/>
          <w:sz w:val="24"/>
          <w:u w:val="single"/>
        </w:rPr>
        <w:t>, a</w:t>
      </w:r>
      <w:r>
        <w:rPr>
          <w:rFonts w:ascii="Times New Roman" w:hAnsi="Times New Roman"/>
          <w:b w:val="false"/>
          <w:i w:val="false"/>
          <w:color w:val="000000"/>
          <w:sz w:val="24"/>
        </w:rPr>
        <w:t xml:space="preserve"> refresher training </w:t>
      </w:r>
      <w:r>
        <w:rPr>
          <w:rFonts w:ascii="Times New Roman" w:hAnsi="Times New Roman"/>
          <w:b w:val="false"/>
          <w:i w:val="false"/>
          <w:strike/>
          <w:color w:val="000000"/>
          <w:sz w:val="24"/>
        </w:rPr>
        <w:t>of</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course for</w:t>
      </w:r>
      <w:r>
        <w:rPr>
          <w:rFonts w:ascii="Times New Roman" w:hAnsi="Times New Roman"/>
          <w:b w:val="false"/>
          <w:i w:val="false"/>
          <w:color w:val="000000"/>
          <w:sz w:val="24"/>
        </w:rPr>
        <w:t xml:space="preserve"> lead inspector/risk assessors and elevated blood lead (EBL) inspector/risk assessors who completed an approved 24-hour training course</w:t>
      </w:r>
      <w:r>
        <w:rPr>
          <w:rFonts w:ascii="Times New Roman" w:hAnsi="Times New Roman"/>
          <w:b w:val="false"/>
          <w:i w:val="false"/>
          <w:strike/>
          <w:color w:val="000000"/>
          <w:sz w:val="24"/>
        </w:rPr>
        <w:t>, a course</w:t>
      </w:r>
      <w:r>
        <w:rPr>
          <w:rFonts w:ascii="Times New Roman" w:hAnsi="Times New Roman"/>
          <w:b w:val="false"/>
          <w:i w:val="false"/>
          <w:color w:val="000000"/>
          <w:sz w:val="24"/>
        </w:rPr>
        <w:t xml:space="preserve"> must be at least 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hours of</w:t>
      </w:r>
      <w:r>
        <w:rPr>
          <w:rFonts w:ascii="Times New Roman" w:hAnsi="Times New Roman"/>
          <w:b w:val="false"/>
          <w:i w:val="false"/>
          <w:color w:val="000000"/>
          <w:sz w:val="24"/>
        </w:rPr>
        <w:t xml:space="preserve"> training </w:t>
      </w:r>
      <w:r>
        <w:rPr>
          <w:rFonts w:ascii="Times New Roman" w:hAnsi="Times New Roman"/>
          <w:b w:val="false"/>
          <w:i w:val="false"/>
          <w:strike/>
          <w:color w:val="000000"/>
          <w:sz w:val="24"/>
        </w:rPr>
        <w:t>hours</w:t>
      </w:r>
      <w:r>
        <w:rPr>
          <w:rFonts w:ascii="Times New Roman" w:hAnsi="Times New Roman"/>
          <w:b w:val="false"/>
          <w:i w:val="false"/>
          <w:color w:val="000000"/>
          <w:sz w:val="24"/>
          <w:u w:val="single"/>
        </w:rPr>
        <w:t>. Pursuant</w:t>
      </w:r>
      <w:r>
        <w:rPr>
          <w:rFonts w:ascii="Times New Roman" w:hAnsi="Times New Roman"/>
          <w:b w:val="false"/>
          <w:i w:val="false"/>
          <w:color w:val="000000"/>
          <w:sz w:val="24"/>
        </w:rPr>
        <w:t xml:space="preserve"> to </w:t>
      </w:r>
      <w:r>
        <w:rPr>
          <w:rFonts w:ascii="Times New Roman" w:hAnsi="Times New Roman"/>
          <w:b w:val="false"/>
          <w:i w:val="false"/>
          <w:strike/>
          <w:color w:val="000000"/>
          <w:sz w:val="24"/>
        </w:rPr>
        <w:t>meet</w:t>
      </w:r>
      <w:r>
        <w:rPr>
          <w:rFonts w:ascii="Times New Roman" w:hAnsi="Times New Roman"/>
          <w:b w:val="false"/>
          <w:i w:val="false"/>
          <w:color w:val="000000"/>
          <w:sz w:val="24"/>
        </w:rPr>
        <w:t xml:space="preserve"> the recertification requirements of subrule </w:t>
      </w:r>
      <w:hyperlink r:id="rId6">
        <w:r>
          <w:rPr>
            <w:rStyle w:val="Hyperlink"/>
            <w:rFonts w:ascii="Times New Roman" w:hAnsi="Times New Roman"/>
            <w:b w:val="false"/>
            <w:i w:val="false"/>
            <w:strike/>
            <w:color w:val="000000"/>
            <w:sz w:val="24"/>
          </w:rPr>
          <w:t>470.5(3)</w:t>
        </w:r>
      </w:hyperlink>
      <w:r>
        <w:rPr>
          <w:rFonts w:ascii="Times New Roman" w:hAnsi="Times New Roman"/>
          <w:b w:val="false"/>
          <w:i w:val="false"/>
          <w:strike/>
          <w:color w:val="000000"/>
          <w:sz w:val="24"/>
        </w:rPr>
        <w:t>. To be approved for</w:t>
      </w:r>
      <w:r>
        <w:rPr>
          <w:rFonts w:ascii="Times New Roman" w:hAnsi="Times New Roman"/>
          <w:b w:val="false"/>
          <w:i w:val="false"/>
          <w:color w:val="000000"/>
          <w:sz w:val="24"/>
          <w:u w:val="single"/>
        </w:rPr>
        <w:t> </w:t>
      </w:r>
      <w:hyperlink r:id="rId7">
        <w:r>
          <w:rPr>
            <w:rStyle w:val="Hyperlink"/>
            <w:rFonts w:ascii="Times New Roman" w:hAnsi="Times New Roman"/>
            <w:b w:val="false"/>
            <w:i w:val="false"/>
            <w:color w:val="000000"/>
            <w:sz w:val="24"/>
            <w:u w:val="single"/>
          </w:rPr>
          <w:t>470.5(6)</w:t>
        </w:r>
      </w:hyperlink>
      <w:r>
        <w:rPr>
          <w:rFonts w:ascii="Times New Roman" w:hAnsi="Times New Roman"/>
          <w:b w:val="false"/>
          <w:i w:val="false"/>
          <w:color w:val="000000"/>
          <w:sz w:val="24"/>
          <w:u w:val="single"/>
        </w:rPr>
        <w:t>, a</w:t>
      </w:r>
      <w:r>
        <w:rPr>
          <w:rFonts w:ascii="Times New Roman" w:hAnsi="Times New Roman"/>
          <w:b w:val="false"/>
          <w:i w:val="false"/>
          <w:color w:val="000000"/>
          <w:sz w:val="24"/>
        </w:rPr>
        <w:t xml:space="preserve"> refresher training </w:t>
      </w:r>
      <w:r>
        <w:rPr>
          <w:rFonts w:ascii="Times New Roman" w:hAnsi="Times New Roman"/>
          <w:b w:val="false"/>
          <w:i w:val="false"/>
          <w:strike/>
          <w:color w:val="000000"/>
          <w:sz w:val="24"/>
        </w:rPr>
        <w:t>of</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course for</w:t>
      </w:r>
      <w:r>
        <w:rPr>
          <w:rFonts w:ascii="Times New Roman" w:hAnsi="Times New Roman"/>
          <w:b w:val="false"/>
          <w:i w:val="false"/>
          <w:color w:val="000000"/>
          <w:sz w:val="24"/>
        </w:rPr>
        <w:t xml:space="preserve"> lead inspector/risk assessors and </w:t>
      </w:r>
      <w:r>
        <w:rPr>
          <w:rFonts w:ascii="Times New Roman" w:hAnsi="Times New Roman"/>
          <w:b w:val="false"/>
          <w:i w:val="false"/>
          <w:strike/>
          <w:color w:val="000000"/>
          <w:sz w:val="24"/>
        </w:rPr>
        <w:t>elevated blood lead (</w:t>
      </w:r>
      <w:r>
        <w:rPr>
          <w:rFonts w:ascii="Times New Roman" w:hAnsi="Times New Roman"/>
          <w:b w:val="false"/>
          <w:i w:val="false"/>
          <w:color w:val="000000"/>
          <w:sz w:val="24"/>
        </w:rPr>
        <w:t>EBL</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inspector/risk assessors </w:t>
      </w:r>
      <w:r>
        <w:rPr>
          <w:rFonts w:ascii="Times New Roman" w:hAnsi="Times New Roman"/>
          <w:b w:val="false"/>
          <w:i w:val="false"/>
          <w:strike/>
          <w:color w:val="000000"/>
          <w:sz w:val="24"/>
        </w:rPr>
        <w:t xml:space="preserve">to meet the recertification requirements of subrule </w:t>
      </w:r>
      <w:hyperlink r:id="rId8">
        <w:r>
          <w:rPr>
            <w:rStyle w:val="Hyperlink"/>
            <w:rFonts w:ascii="Times New Roman" w:hAnsi="Times New Roman"/>
            <w:b w:val="false"/>
            <w:i w:val="false"/>
            <w:strike/>
            <w:color w:val="000000"/>
            <w:sz w:val="24"/>
          </w:rPr>
          <w:t>470.5(6)</w:t>
        </w:r>
      </w:hyperlink>
      <w:r>
        <w:rPr>
          <w:rFonts w:ascii="Times New Roman" w:hAnsi="Times New Roman"/>
          <w:b w:val="false"/>
          <w:i w:val="false"/>
          <w:strike/>
          <w:color w:val="000000"/>
          <w:sz w:val="24"/>
        </w:rPr>
        <w:t>, a course</w:t>
      </w:r>
      <w:r>
        <w:rPr>
          <w:rFonts w:ascii="Times New Roman" w:hAnsi="Times New Roman"/>
          <w:b w:val="false"/>
          <w:i w:val="false"/>
          <w:color w:val="000000"/>
          <w:sz w:val="24"/>
        </w:rPr>
        <w:t xml:space="preserve"> must be at least 16</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hours of</w:t>
      </w:r>
      <w:r>
        <w:rPr>
          <w:rFonts w:ascii="Times New Roman" w:hAnsi="Times New Roman"/>
          <w:b w:val="false"/>
          <w:i w:val="false"/>
          <w:color w:val="000000"/>
          <w:sz w:val="24"/>
        </w:rPr>
        <w:t xml:space="preserve"> training </w:t>
      </w:r>
      <w:r>
        <w:rPr>
          <w:rFonts w:ascii="Times New Roman" w:hAnsi="Times New Roman"/>
          <w:b w:val="false"/>
          <w:i w:val="false"/>
          <w:strike/>
          <w:color w:val="000000"/>
          <w:sz w:val="24"/>
        </w:rPr>
        <w:t>hours</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To be approved for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w:t>
      </w:r>
      <w:r>
        <w:rPr>
          <w:rFonts w:ascii="Times New Roman" w:hAnsi="Times New Roman"/>
          <w:b w:val="false"/>
          <w:i w:val="false"/>
          <w:color w:val="000000"/>
          <w:sz w:val="24"/>
        </w:rPr>
        <w:t xml:space="preserve"> refresher training </w:t>
      </w:r>
      <w:r>
        <w:rPr>
          <w:rFonts w:ascii="Times New Roman" w:hAnsi="Times New Roman"/>
          <w:b w:val="false"/>
          <w:i w:val="false"/>
          <w:strike/>
          <w:color w:val="000000"/>
          <w:sz w:val="24"/>
        </w:rPr>
        <w:t>of</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course for</w:t>
      </w:r>
      <w:r>
        <w:rPr>
          <w:rFonts w:ascii="Times New Roman" w:hAnsi="Times New Roman"/>
          <w:b w:val="false"/>
          <w:i w:val="false"/>
          <w:color w:val="000000"/>
          <w:sz w:val="24"/>
        </w:rPr>
        <w:t xml:space="preserve"> lead-safe renovators</w:t>
      </w:r>
      <w:r>
        <w:rPr>
          <w:rFonts w:ascii="Times New Roman" w:hAnsi="Times New Roman"/>
          <w:b w:val="false"/>
          <w:i w:val="false"/>
          <w:strike/>
          <w:color w:val="000000"/>
          <w:sz w:val="24"/>
        </w:rPr>
        <w:t>, a course</w:t>
      </w:r>
      <w:r>
        <w:rPr>
          <w:rFonts w:ascii="Times New Roman" w:hAnsi="Times New Roman"/>
          <w:b w:val="false"/>
          <w:i w:val="false"/>
          <w:color w:val="000000"/>
          <w:sz w:val="24"/>
        </w:rPr>
        <w:t xml:space="preserve"> must be at least four hours </w:t>
      </w:r>
      <w:r>
        <w:rPr>
          <w:rFonts w:ascii="Times New Roman" w:hAnsi="Times New Roman"/>
          <w:b w:val="false"/>
          <w:i w:val="false"/>
          <w:strike/>
          <w:color w:val="000000"/>
          <w:sz w:val="24"/>
        </w:rPr>
        <w:t>and must include a hands-on component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of training</w:t>
      </w:r>
      <w:r>
        <w:rPr>
          <w:rFonts w:ascii="Times New Roman" w:hAnsi="Times New Roman"/>
          <w:b w:val="false"/>
          <w:i w:val="false"/>
          <w:color w:val="000000"/>
          <w:sz w:val="24"/>
        </w:rPr>
        <w:t>. All refresher training courses shall cover at least the following topics: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481—470.12(10A)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481—470.12</w:t>
      </w:r>
      <w:r>
        <w:rPr>
          <w:rFonts w:ascii="Times New Roman" w:hAnsi="Times New Roman"/>
          <w:b/>
          <w:i w:val="false"/>
          <w:color w:val="000000"/>
          <w:sz w:val="24"/>
        </w:rPr>
        <w:t xml:space="preserve">(10A) </w:t>
      </w:r>
      <w:r>
        <w:rPr>
          <w:rFonts w:ascii="Times New Roman" w:hAnsi="Times New Roman"/>
          <w:b/>
          <w:i w:val="false"/>
          <w:color w:val="000000"/>
          <w:sz w:val="24"/>
        </w:rPr>
        <w:t xml:space="preserve">References to federal law. </w:t>
      </w:r>
      <w:r>
        <w:rPr>
          <w:rFonts w:ascii="Times New Roman" w:hAnsi="Times New Roman"/>
          <w:b w:val="false"/>
          <w:i w:val="false"/>
          <w:color w:val="000000"/>
          <w:sz w:val="24"/>
        </w:rPr>
        <w:t xml:space="preserve">Unless otherwise specified, all references in this chapter to the United States Code or to the Code of Federal Regulations are to those provisions in effect on July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2026</w:t>
      </w:r>
      <w:r>
        <w:rPr>
          <w:rFonts w:ascii="Times New Roman" w:hAnsi="Times New Roman"/>
          <w:b w:val="false"/>
          <w:i w:val="false"/>
          <w:color w:val="000000"/>
          <w:sz w:val="24"/>
        </w:rPr>
        <w:t>.</w:t>
      </w:r>
    </w:p>
    <w:p>
      <w:pPr>
        <w:spacing w:before="0" w:after="0" w:line="240"/>
        <w:ind w:left="120"/>
        <w:jc w:val="both"/>
      </w:pP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sheri.howard@dia.iowa.gov" Type="http://schemas.openxmlformats.org/officeDocument/2006/relationships/hyperlink" Id="rId4"/>
    <Relationship TargetMode="External" Target="https://www.legis.iowa.gov/docs/iac/rule/481.470.5.pdf" Type="http://schemas.openxmlformats.org/officeDocument/2006/relationships/hyperlink" Id="rId5"/>
    <Relationship TargetMode="External" Target="https://www.legis.iowa.gov/docs/iac/rule/481.470.5.pdf" Type="http://schemas.openxmlformats.org/officeDocument/2006/relationships/hyperlink" Id="rId6"/>
    <Relationship TargetMode="External" Target="https://www.legis.iowa.gov/docs/iac/rule/481.470.5.pdf" Type="http://schemas.openxmlformats.org/officeDocument/2006/relationships/hyperlink" Id="rId7"/>
    <Relationship TargetMode="External" Target="https://www.legis.iowa.gov/docs/iac/rule/481.470.5.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